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D24" w:rsidRPr="00273107" w:rsidRDefault="004B0D24" w:rsidP="004B0D24">
      <w:pPr>
        <w:autoSpaceDE/>
        <w:autoSpaceDN/>
        <w:ind w:left="6096"/>
        <w:jc w:val="center"/>
        <w:rPr>
          <w:iCs/>
          <w:sz w:val="28"/>
          <w:szCs w:val="28"/>
          <w:lang w:val="uk-UA"/>
        </w:rPr>
      </w:pPr>
      <w:r w:rsidRPr="00273107">
        <w:rPr>
          <w:iCs/>
          <w:sz w:val="28"/>
          <w:szCs w:val="28"/>
          <w:lang w:val="uk-UA"/>
        </w:rPr>
        <w:t>Додаток 2</w:t>
      </w:r>
    </w:p>
    <w:p w:rsidR="004B0D24" w:rsidRPr="00273107" w:rsidRDefault="004B0D24" w:rsidP="004B0D24">
      <w:pPr>
        <w:autoSpaceDE/>
        <w:autoSpaceDN/>
        <w:ind w:left="6096"/>
        <w:jc w:val="center"/>
        <w:rPr>
          <w:sz w:val="28"/>
          <w:szCs w:val="28"/>
          <w:lang w:val="uk-UA" w:eastAsia="ru-RU"/>
        </w:rPr>
      </w:pPr>
      <w:r w:rsidRPr="00273107">
        <w:rPr>
          <w:sz w:val="28"/>
          <w:szCs w:val="28"/>
          <w:lang w:val="uk-UA" w:eastAsia="ru-RU"/>
        </w:rPr>
        <w:t>до Технічного регламенту</w:t>
      </w:r>
    </w:p>
    <w:p w:rsidR="004B0D24" w:rsidRPr="00273107" w:rsidRDefault="004B0D24" w:rsidP="004B0D24">
      <w:pPr>
        <w:pStyle w:val="a3"/>
        <w:widowControl/>
        <w:jc w:val="center"/>
        <w:rPr>
          <w:spacing w:val="0"/>
          <w:kern w:val="0"/>
          <w:position w:val="0"/>
          <w:sz w:val="28"/>
          <w:szCs w:val="28"/>
          <w:lang w:val="uk-UA" w:eastAsia="ru-RU"/>
        </w:rPr>
      </w:pPr>
    </w:p>
    <w:p w:rsidR="00024909" w:rsidRPr="00E05CEF" w:rsidRDefault="00024909" w:rsidP="00024909">
      <w:pPr>
        <w:pStyle w:val="21"/>
        <w:shd w:val="clear" w:color="auto" w:fill="auto"/>
        <w:spacing w:before="0" w:after="0" w:line="389" w:lineRule="exact"/>
        <w:jc w:val="center"/>
        <w:rPr>
          <w:sz w:val="28"/>
          <w:szCs w:val="28"/>
        </w:rPr>
      </w:pPr>
      <w:r w:rsidRPr="00E05CEF">
        <w:rPr>
          <w:sz w:val="28"/>
          <w:szCs w:val="28"/>
        </w:rPr>
        <w:t>ВИМОГИ</w:t>
      </w:r>
    </w:p>
    <w:p w:rsidR="00024909" w:rsidRPr="00E05CEF" w:rsidRDefault="00024909" w:rsidP="00E05CEF">
      <w:pPr>
        <w:pStyle w:val="20"/>
        <w:shd w:val="clear" w:color="auto" w:fill="auto"/>
        <w:spacing w:after="0" w:line="276" w:lineRule="auto"/>
        <w:ind w:firstLine="567"/>
        <w:rPr>
          <w:sz w:val="28"/>
          <w:szCs w:val="28"/>
        </w:rPr>
      </w:pPr>
      <w:r w:rsidRPr="00E05CEF">
        <w:rPr>
          <w:sz w:val="28"/>
          <w:szCs w:val="28"/>
        </w:rPr>
        <w:t xml:space="preserve">до </w:t>
      </w:r>
      <w:proofErr w:type="spellStart"/>
      <w:r w:rsidRPr="00E05CEF">
        <w:rPr>
          <w:sz w:val="28"/>
          <w:szCs w:val="28"/>
        </w:rPr>
        <w:t>перевірки</w:t>
      </w:r>
      <w:proofErr w:type="spellEnd"/>
      <w:r w:rsidRPr="00E05CEF">
        <w:rPr>
          <w:sz w:val="28"/>
          <w:szCs w:val="28"/>
        </w:rPr>
        <w:t xml:space="preserve"> </w:t>
      </w:r>
      <w:proofErr w:type="spellStart"/>
      <w:proofErr w:type="gramStart"/>
      <w:r w:rsidRPr="00E05CEF">
        <w:rPr>
          <w:sz w:val="28"/>
          <w:szCs w:val="28"/>
        </w:rPr>
        <w:t>п</w:t>
      </w:r>
      <w:proofErr w:type="gramEnd"/>
      <w:r w:rsidRPr="00E05CEF">
        <w:rPr>
          <w:sz w:val="28"/>
          <w:szCs w:val="28"/>
        </w:rPr>
        <w:t>ід</w:t>
      </w:r>
      <w:proofErr w:type="spellEnd"/>
      <w:r w:rsidRPr="00E05CEF">
        <w:rPr>
          <w:sz w:val="28"/>
          <w:szCs w:val="28"/>
        </w:rPr>
        <w:t xml:space="preserve"> час </w:t>
      </w:r>
      <w:proofErr w:type="spellStart"/>
      <w:r w:rsidRPr="00E05CEF">
        <w:rPr>
          <w:sz w:val="28"/>
          <w:szCs w:val="28"/>
        </w:rPr>
        <w:t>здійснення</w:t>
      </w:r>
      <w:proofErr w:type="spellEnd"/>
      <w:r w:rsidRPr="00E05CEF">
        <w:rPr>
          <w:sz w:val="28"/>
          <w:szCs w:val="28"/>
        </w:rPr>
        <w:t xml:space="preserve"> </w:t>
      </w:r>
      <w:proofErr w:type="spellStart"/>
      <w:r w:rsidRPr="00E05CEF">
        <w:rPr>
          <w:sz w:val="28"/>
          <w:szCs w:val="28"/>
        </w:rPr>
        <w:t>ринкового</w:t>
      </w:r>
      <w:proofErr w:type="spellEnd"/>
      <w:r w:rsidRPr="00E05CEF">
        <w:rPr>
          <w:sz w:val="28"/>
          <w:szCs w:val="28"/>
        </w:rPr>
        <w:t xml:space="preserve"> </w:t>
      </w:r>
      <w:proofErr w:type="spellStart"/>
      <w:r w:rsidRPr="00E05CEF">
        <w:rPr>
          <w:sz w:val="28"/>
          <w:szCs w:val="28"/>
        </w:rPr>
        <w:t>нагляду</w:t>
      </w:r>
      <w:proofErr w:type="spellEnd"/>
    </w:p>
    <w:p w:rsidR="00024909" w:rsidRPr="00E05CEF" w:rsidRDefault="00024909" w:rsidP="00E05CEF">
      <w:pPr>
        <w:pStyle w:val="21"/>
        <w:shd w:val="clear" w:color="auto" w:fill="auto"/>
        <w:tabs>
          <w:tab w:val="left" w:pos="709"/>
          <w:tab w:val="left" w:pos="851"/>
          <w:tab w:val="left" w:pos="993"/>
        </w:tabs>
        <w:spacing w:before="0" w:after="180" w:line="276" w:lineRule="auto"/>
        <w:ind w:right="20"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>Допустимі похибки, зазначені в цьому додатку, стосуються лише перевірки вимірюваних параметрів органами державного ринкового нагляду та не повинні використовуватися виробником або імпортером як допустимі похибки для встановлення значень у технічній документації або при інтерпретації цих значень для досягнення відповідності або покращення значень продуктивності.</w:t>
      </w:r>
    </w:p>
    <w:p w:rsidR="00024909" w:rsidRPr="00E05CEF" w:rsidRDefault="00024909" w:rsidP="00E05CEF">
      <w:pPr>
        <w:pStyle w:val="21"/>
        <w:shd w:val="clear" w:color="auto" w:fill="auto"/>
        <w:tabs>
          <w:tab w:val="left" w:pos="709"/>
          <w:tab w:val="left" w:pos="851"/>
          <w:tab w:val="left" w:pos="993"/>
        </w:tabs>
        <w:spacing w:before="0" w:after="0" w:line="276" w:lineRule="auto"/>
        <w:ind w:right="20"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>При проведенні перевірки відповідності споживання електроенергії зовнішніми джерелами живлення в режимі без навантаження та їх середнього коефіцієнта корисної дії в активному режимі вимогам Технічного регламенту, органи державного ринкового нагляду мають застосовувати наступну процедуру:</w:t>
      </w:r>
    </w:p>
    <w:p w:rsidR="00024909" w:rsidRPr="00E05CEF" w:rsidRDefault="00024909" w:rsidP="00E05CEF">
      <w:pPr>
        <w:pStyle w:val="21"/>
        <w:numPr>
          <w:ilvl w:val="0"/>
          <w:numId w:val="5"/>
        </w:numPr>
        <w:shd w:val="clear" w:color="auto" w:fill="auto"/>
        <w:tabs>
          <w:tab w:val="left" w:pos="709"/>
          <w:tab w:val="left" w:pos="851"/>
          <w:tab w:val="left" w:pos="993"/>
        </w:tabs>
        <w:spacing w:before="0" w:after="0" w:line="276" w:lineRule="auto"/>
        <w:ind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 xml:space="preserve"> Перевірці підлягає одне зовнішнє джерело живлення для кожної моделі.</w:t>
      </w:r>
    </w:p>
    <w:p w:rsidR="00024909" w:rsidRPr="00E05CEF" w:rsidRDefault="00024909" w:rsidP="00E05CEF">
      <w:pPr>
        <w:pStyle w:val="21"/>
        <w:numPr>
          <w:ilvl w:val="0"/>
          <w:numId w:val="5"/>
        </w:numPr>
        <w:shd w:val="clear" w:color="auto" w:fill="auto"/>
        <w:tabs>
          <w:tab w:val="left" w:pos="709"/>
          <w:tab w:val="left" w:pos="851"/>
          <w:tab w:val="left" w:pos="993"/>
        </w:tabs>
        <w:spacing w:before="0" w:after="0" w:line="276" w:lineRule="auto"/>
        <w:ind w:right="20"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 xml:space="preserve"> Модель зовнішнього джерел живлення вважаться такою, що відповідає вимогам Технічного регламенту, якщо:</w:t>
      </w:r>
    </w:p>
    <w:p w:rsidR="00024909" w:rsidRPr="00E05CEF" w:rsidRDefault="00024909" w:rsidP="00E05CEF">
      <w:pPr>
        <w:pStyle w:val="21"/>
        <w:shd w:val="clear" w:color="auto" w:fill="auto"/>
        <w:tabs>
          <w:tab w:val="left" w:pos="709"/>
          <w:tab w:val="left" w:pos="851"/>
          <w:tab w:val="left" w:pos="993"/>
        </w:tabs>
        <w:spacing w:before="0" w:after="100" w:line="276" w:lineRule="auto"/>
        <w:ind w:right="23"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>а) значення, наведені в технічній документації та, де це можливо, значення, що використовуються для розрахунку цих значень, не є більш сприятливими для виробника або імпортера, ніж результати відповідних вимірювань; і</w:t>
      </w:r>
    </w:p>
    <w:p w:rsidR="00024909" w:rsidRPr="00E05CEF" w:rsidRDefault="00024909" w:rsidP="00E05CEF">
      <w:pPr>
        <w:pStyle w:val="21"/>
        <w:shd w:val="clear" w:color="auto" w:fill="auto"/>
        <w:tabs>
          <w:tab w:val="left" w:pos="709"/>
          <w:tab w:val="left" w:pos="851"/>
          <w:tab w:val="left" w:pos="993"/>
        </w:tabs>
        <w:spacing w:before="0" w:after="0" w:line="276" w:lineRule="auto"/>
        <w:ind w:right="20"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>б) заявлені значення відповідають будь-яким вимогам, встановленим в цьому Технічному регламенті, а будь-яка необхідна інформація про продукт, надана виробником або імпортером, не містить значень, які є більш сприятливими для виробника або імпортера, ніж вказані значення; і</w:t>
      </w:r>
    </w:p>
    <w:p w:rsidR="00024909" w:rsidRPr="00E05CEF" w:rsidRDefault="00024909" w:rsidP="00E05CEF">
      <w:pPr>
        <w:pStyle w:val="21"/>
        <w:shd w:val="clear" w:color="auto" w:fill="auto"/>
        <w:tabs>
          <w:tab w:val="left" w:pos="709"/>
          <w:tab w:val="left" w:pos="851"/>
          <w:tab w:val="left" w:pos="993"/>
        </w:tabs>
        <w:spacing w:before="0" w:after="0" w:line="276" w:lineRule="auto"/>
        <w:ind w:right="23"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>в) коли органи державного ринкового нагляду перевіряють зовнішнє джерело живлення, вказані значення (значення відповідних параметрів, виміряні при перевірці, та значення, що розраховуються з цих вимірювань), повинні відповідати допустимим похибкам, наведеним у таблиці нижче.</w:t>
      </w:r>
    </w:p>
    <w:p w:rsidR="00024909" w:rsidRPr="00E05CEF" w:rsidRDefault="00024909" w:rsidP="00E05CEF">
      <w:pPr>
        <w:pStyle w:val="21"/>
        <w:numPr>
          <w:ilvl w:val="0"/>
          <w:numId w:val="5"/>
        </w:numPr>
        <w:shd w:val="clear" w:color="auto" w:fill="auto"/>
        <w:tabs>
          <w:tab w:val="left" w:pos="709"/>
          <w:tab w:val="left" w:pos="851"/>
          <w:tab w:val="left" w:pos="993"/>
        </w:tabs>
        <w:spacing w:before="0" w:after="0" w:line="276" w:lineRule="auto"/>
        <w:ind w:right="20"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 xml:space="preserve"> Якщо результати, зазначені в пункті 2 (а) або (б), не досягнуті, модель вважається такою, що не відповідає вимогам Технічного регламенту.</w:t>
      </w:r>
    </w:p>
    <w:p w:rsidR="00024909" w:rsidRPr="00E05CEF" w:rsidRDefault="00024909" w:rsidP="00E05CEF">
      <w:pPr>
        <w:pStyle w:val="21"/>
        <w:numPr>
          <w:ilvl w:val="0"/>
          <w:numId w:val="5"/>
        </w:numPr>
        <w:shd w:val="clear" w:color="auto" w:fill="auto"/>
        <w:tabs>
          <w:tab w:val="left" w:pos="709"/>
          <w:tab w:val="left" w:pos="851"/>
          <w:tab w:val="left" w:pos="993"/>
        </w:tabs>
        <w:spacing w:before="0" w:after="0" w:line="276" w:lineRule="auto"/>
        <w:ind w:right="20"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 xml:space="preserve"> Якщо результат, зазначений у пункті 2 (в), не досягнуто, органи державного ринкового нагляду вибирають три додаткові зовнішні джерела живлення тієї самої моделі для перевірки.</w:t>
      </w:r>
    </w:p>
    <w:p w:rsidR="00024909" w:rsidRPr="00E05CEF" w:rsidRDefault="00024909" w:rsidP="00E05CEF">
      <w:pPr>
        <w:pStyle w:val="21"/>
        <w:numPr>
          <w:ilvl w:val="0"/>
          <w:numId w:val="5"/>
        </w:numPr>
        <w:shd w:val="clear" w:color="auto" w:fill="auto"/>
        <w:tabs>
          <w:tab w:val="left" w:pos="709"/>
          <w:tab w:val="left" w:pos="851"/>
          <w:tab w:val="left" w:pos="993"/>
        </w:tabs>
        <w:spacing w:before="0" w:after="0" w:line="276" w:lineRule="auto"/>
        <w:ind w:right="20"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 xml:space="preserve"> Модель вважається такою, що відповідає вимогам, якщо для цих трьох зовнішніх джерел живлення середнє арифметичне значення, відповідає допустимим похибкам, наведеним у таблиці нижче.</w:t>
      </w:r>
    </w:p>
    <w:p w:rsidR="00024909" w:rsidRPr="00E05CEF" w:rsidRDefault="00024909" w:rsidP="00E05CEF">
      <w:pPr>
        <w:pStyle w:val="21"/>
        <w:numPr>
          <w:ilvl w:val="0"/>
          <w:numId w:val="5"/>
        </w:numPr>
        <w:shd w:val="clear" w:color="auto" w:fill="auto"/>
        <w:tabs>
          <w:tab w:val="left" w:pos="851"/>
        </w:tabs>
        <w:spacing w:before="0" w:after="0" w:line="276" w:lineRule="auto"/>
        <w:ind w:right="20"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 xml:space="preserve"> Якщо результату, зазначеному у пункті 5, не досягнуто, модель вважається такою, що не відповідає вимогам Технічного регламенту.</w:t>
      </w:r>
    </w:p>
    <w:p w:rsidR="00300A06" w:rsidRPr="00E05CEF" w:rsidRDefault="00300A06" w:rsidP="00E05CEF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Pr="00E05CEF" w:rsidRDefault="00300A06" w:rsidP="00E05CEF">
      <w:pPr>
        <w:pStyle w:val="21"/>
        <w:numPr>
          <w:ilvl w:val="0"/>
          <w:numId w:val="5"/>
        </w:numPr>
        <w:shd w:val="clear" w:color="auto" w:fill="auto"/>
        <w:tabs>
          <w:tab w:val="left" w:pos="1009"/>
        </w:tabs>
        <w:spacing w:before="0" w:after="0" w:line="276" w:lineRule="auto"/>
        <w:ind w:right="140"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>Органи державного ринкового нагляду надають всю відповідну інформацію органам інших держав-членів одразу після прийняття рішення про невідповідність моделі згідно з пунктами 3 та 6.</w:t>
      </w:r>
    </w:p>
    <w:p w:rsidR="00300A06" w:rsidRPr="00E05CEF" w:rsidRDefault="00300A06" w:rsidP="00E05CEF">
      <w:pPr>
        <w:pStyle w:val="21"/>
        <w:shd w:val="clear" w:color="auto" w:fill="auto"/>
        <w:spacing w:before="0" w:after="0" w:line="276" w:lineRule="auto"/>
        <w:ind w:right="140"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>Органи державного ринкового нагляду використовують методи вимірювань та розрахунків, наведені в додатку 1.</w:t>
      </w:r>
    </w:p>
    <w:p w:rsidR="00300A06" w:rsidRPr="00E05CEF" w:rsidRDefault="00300A06" w:rsidP="00E05CEF">
      <w:pPr>
        <w:pStyle w:val="21"/>
        <w:shd w:val="clear" w:color="auto" w:fill="auto"/>
        <w:spacing w:before="0" w:after="0" w:line="276" w:lineRule="auto"/>
        <w:ind w:right="23"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>Органи державного ринкового нагляду застосовують лише допустимі похибки, наведені в таблиці нижче, і використовують процедуру, описану в пунктах 1-7 цього додатку. Не застосовуються інші похибки, наприклад ті, що встановлені в гармонізованих стандартах або будь-яким іншим методом вимірювання.</w:t>
      </w:r>
    </w:p>
    <w:p w:rsidR="00300A06" w:rsidRPr="00E05CEF" w:rsidRDefault="00300A06" w:rsidP="00E05CEF">
      <w:pPr>
        <w:pStyle w:val="90"/>
        <w:shd w:val="clear" w:color="auto" w:fill="auto"/>
        <w:ind w:right="140"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>Таблиця</w:t>
      </w:r>
    </w:p>
    <w:p w:rsidR="00300A06" w:rsidRPr="00E05CEF" w:rsidRDefault="00300A06" w:rsidP="00E05CEF">
      <w:pPr>
        <w:pStyle w:val="20"/>
        <w:shd w:val="clear" w:color="auto" w:fill="auto"/>
        <w:spacing w:after="0"/>
        <w:ind w:right="420" w:firstLine="567"/>
        <w:rPr>
          <w:sz w:val="28"/>
          <w:szCs w:val="28"/>
          <w:lang w:val="uk-UA"/>
        </w:rPr>
      </w:pPr>
      <w:r w:rsidRPr="00E05CEF">
        <w:rPr>
          <w:sz w:val="28"/>
          <w:szCs w:val="28"/>
          <w:lang w:val="uk-UA"/>
        </w:rPr>
        <w:t>Допустимі похибки</w:t>
      </w:r>
    </w:p>
    <w:p w:rsidR="00300A06" w:rsidRPr="00E05CEF" w:rsidRDefault="00300A06" w:rsidP="00E05CEF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jc w:val="center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30"/>
        <w:gridCol w:w="4685"/>
      </w:tblGrid>
      <w:tr w:rsidR="00300A06" w:rsidRPr="00E05CEF" w:rsidTr="00E05CEF">
        <w:trPr>
          <w:trHeight w:hRule="exact" w:val="298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A06" w:rsidRPr="00E05CEF" w:rsidRDefault="00300A06" w:rsidP="00E05CEF">
            <w:pPr>
              <w:pStyle w:val="21"/>
              <w:shd w:val="clear" w:color="auto" w:fill="auto"/>
              <w:spacing w:before="0" w:after="0" w:line="220" w:lineRule="exact"/>
              <w:ind w:firstLine="567"/>
              <w:jc w:val="center"/>
              <w:rPr>
                <w:sz w:val="24"/>
                <w:szCs w:val="24"/>
                <w:lang w:val="uk-UA"/>
              </w:rPr>
            </w:pPr>
            <w:r w:rsidRPr="00E05CEF">
              <w:rPr>
                <w:rStyle w:val="11pt"/>
                <w:sz w:val="24"/>
                <w:szCs w:val="24"/>
              </w:rPr>
              <w:t>Параметри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0A06" w:rsidRPr="00E05CEF" w:rsidRDefault="00300A06" w:rsidP="00E05CEF">
            <w:pPr>
              <w:pStyle w:val="21"/>
              <w:shd w:val="clear" w:color="auto" w:fill="auto"/>
              <w:spacing w:before="0" w:after="0" w:line="220" w:lineRule="exact"/>
              <w:ind w:firstLine="567"/>
              <w:jc w:val="center"/>
              <w:rPr>
                <w:sz w:val="24"/>
                <w:szCs w:val="24"/>
                <w:lang w:val="uk-UA"/>
              </w:rPr>
            </w:pPr>
            <w:r w:rsidRPr="00E05CEF">
              <w:rPr>
                <w:rStyle w:val="11pt"/>
                <w:sz w:val="24"/>
                <w:szCs w:val="24"/>
              </w:rPr>
              <w:t>Допустимі похибки</w:t>
            </w:r>
          </w:p>
        </w:tc>
      </w:tr>
      <w:tr w:rsidR="00300A06" w:rsidRPr="00E05CEF" w:rsidTr="00E05CEF">
        <w:trPr>
          <w:trHeight w:hRule="exact" w:val="557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0A06" w:rsidRPr="00E05CEF" w:rsidRDefault="00300A06" w:rsidP="00E05CEF">
            <w:pPr>
              <w:pStyle w:val="21"/>
              <w:shd w:val="clear" w:color="auto" w:fill="auto"/>
              <w:spacing w:before="0" w:after="0" w:line="240" w:lineRule="auto"/>
              <w:ind w:right="-172" w:hanging="22"/>
              <w:jc w:val="left"/>
              <w:rPr>
                <w:sz w:val="24"/>
                <w:szCs w:val="24"/>
                <w:lang w:val="uk-UA"/>
              </w:rPr>
            </w:pPr>
            <w:r w:rsidRPr="00E05CEF">
              <w:rPr>
                <w:rStyle w:val="11pt"/>
                <w:sz w:val="24"/>
                <w:szCs w:val="24"/>
              </w:rPr>
              <w:t>Режим без навантаження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0A06" w:rsidRPr="00E05CEF" w:rsidRDefault="00300A06" w:rsidP="00E05CEF">
            <w:pPr>
              <w:pStyle w:val="21"/>
              <w:shd w:val="clear" w:color="auto" w:fill="auto"/>
              <w:spacing w:before="0" w:after="0" w:line="240" w:lineRule="auto"/>
              <w:ind w:right="-172" w:hanging="22"/>
              <w:jc w:val="left"/>
              <w:rPr>
                <w:sz w:val="24"/>
                <w:szCs w:val="24"/>
                <w:lang w:val="uk-UA"/>
              </w:rPr>
            </w:pPr>
            <w:r w:rsidRPr="00E05CEF">
              <w:rPr>
                <w:rStyle w:val="11pt"/>
                <w:sz w:val="24"/>
                <w:szCs w:val="24"/>
              </w:rPr>
              <w:t>Не повинно перевищувати встановлене значення, більш ніж на ОДО Вт</w:t>
            </w:r>
          </w:p>
        </w:tc>
      </w:tr>
      <w:tr w:rsidR="00300A06" w:rsidRPr="00E05CEF" w:rsidTr="00E05CEF">
        <w:trPr>
          <w:trHeight w:hRule="exact" w:val="854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0A06" w:rsidRPr="00E05CEF" w:rsidRDefault="00300A06" w:rsidP="00E05CEF">
            <w:pPr>
              <w:pStyle w:val="21"/>
              <w:shd w:val="clear" w:color="auto" w:fill="auto"/>
              <w:spacing w:before="0" w:after="0" w:line="240" w:lineRule="auto"/>
              <w:ind w:right="-172" w:hanging="22"/>
              <w:jc w:val="left"/>
              <w:rPr>
                <w:sz w:val="24"/>
                <w:szCs w:val="24"/>
                <w:lang w:val="uk-UA"/>
              </w:rPr>
            </w:pPr>
            <w:r w:rsidRPr="00E05CEF">
              <w:rPr>
                <w:rStyle w:val="11pt"/>
                <w:sz w:val="24"/>
                <w:szCs w:val="24"/>
              </w:rPr>
              <w:t>Середнє арифметичне значення ефективності в режимах навантаження 1-4, як це визначено в додатку 1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A06" w:rsidRPr="00E05CEF" w:rsidRDefault="00300A06" w:rsidP="00E05CEF">
            <w:pPr>
              <w:pStyle w:val="21"/>
              <w:shd w:val="clear" w:color="auto" w:fill="auto"/>
              <w:spacing w:before="0" w:after="0" w:line="240" w:lineRule="auto"/>
              <w:ind w:right="-172" w:hanging="22"/>
              <w:jc w:val="left"/>
              <w:rPr>
                <w:sz w:val="24"/>
                <w:szCs w:val="24"/>
                <w:lang w:val="uk-UA"/>
              </w:rPr>
            </w:pPr>
            <w:r w:rsidRPr="00E05CEF">
              <w:rPr>
                <w:rStyle w:val="11pt"/>
                <w:sz w:val="24"/>
                <w:szCs w:val="24"/>
              </w:rPr>
              <w:t>Не повинно бути нижче від встановленого значення, більш ніж на 5%.</w:t>
            </w:r>
          </w:p>
        </w:tc>
      </w:tr>
    </w:tbl>
    <w:p w:rsidR="00300A06" w:rsidRPr="00E05CEF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0A06" w:rsidRPr="00E05CEF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Pr="00E05CEF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Pr="00E05CEF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00A06" w:rsidRPr="00E05CEF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Pr="00E05CEF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Pr="00E05CEF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Pr="00E05CEF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Pr="00E05CEF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Pr="00E05CEF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A06" w:rsidRDefault="00300A06" w:rsidP="000665C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00A06" w:rsidSect="00E05CEF">
      <w:headerReference w:type="default" r:id="rId8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7E3" w:rsidRDefault="006967E3" w:rsidP="00273107">
      <w:r>
        <w:separator/>
      </w:r>
    </w:p>
  </w:endnote>
  <w:endnote w:type="continuationSeparator" w:id="0">
    <w:p w:rsidR="006967E3" w:rsidRDefault="006967E3" w:rsidP="0027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7E3" w:rsidRDefault="006967E3" w:rsidP="00273107">
      <w:r>
        <w:separator/>
      </w:r>
    </w:p>
  </w:footnote>
  <w:footnote w:type="continuationSeparator" w:id="0">
    <w:p w:rsidR="006967E3" w:rsidRDefault="006967E3" w:rsidP="00273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632754"/>
      <w:docPartObj>
        <w:docPartGallery w:val="Page Numbers (Top of Page)"/>
        <w:docPartUnique/>
      </w:docPartObj>
    </w:sdtPr>
    <w:sdtEndPr/>
    <w:sdtContent>
      <w:p w:rsidR="00273107" w:rsidRDefault="00273107" w:rsidP="0027310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CEF">
          <w:rPr>
            <w:noProof/>
          </w:rPr>
          <w:t>2</w:t>
        </w:r>
        <w:r>
          <w:fldChar w:fldCharType="end"/>
        </w:r>
        <w:r>
          <w:rPr>
            <w:lang w:val="uk-UA"/>
          </w:rPr>
          <w:t xml:space="preserve">                                                     Продовження додатку 2</w:t>
        </w:r>
      </w:p>
    </w:sdtContent>
  </w:sdt>
  <w:p w:rsidR="00273107" w:rsidRDefault="0027310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D617E"/>
    <w:multiLevelType w:val="hybridMultilevel"/>
    <w:tmpl w:val="35BE3920"/>
    <w:lvl w:ilvl="0" w:tplc="04220017">
      <w:start w:val="1"/>
      <w:numFmt w:val="lowerLetter"/>
      <w:lvlText w:val="%1)"/>
      <w:lvlJc w:val="left"/>
      <w:pPr>
        <w:ind w:left="1512" w:hanging="360"/>
      </w:pPr>
    </w:lvl>
    <w:lvl w:ilvl="1" w:tplc="FF34364C">
      <w:start w:val="1"/>
      <w:numFmt w:val="decimal"/>
      <w:lvlText w:val="%2."/>
      <w:lvlJc w:val="left"/>
      <w:pPr>
        <w:ind w:left="36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>
    <w:nsid w:val="46F32EA9"/>
    <w:multiLevelType w:val="hybridMultilevel"/>
    <w:tmpl w:val="70028344"/>
    <w:lvl w:ilvl="0" w:tplc="6226D7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62004A"/>
    <w:multiLevelType w:val="multilevel"/>
    <w:tmpl w:val="FED275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29639D"/>
    <w:multiLevelType w:val="multilevel"/>
    <w:tmpl w:val="FED275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D9412A"/>
    <w:multiLevelType w:val="hybridMultilevel"/>
    <w:tmpl w:val="02AAA5F0"/>
    <w:lvl w:ilvl="0" w:tplc="2F6A81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DB1A14"/>
    <w:multiLevelType w:val="multilevel"/>
    <w:tmpl w:val="46C8B3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A8C1AE2"/>
    <w:multiLevelType w:val="multilevel"/>
    <w:tmpl w:val="FED275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EE4"/>
    <w:rsid w:val="00024909"/>
    <w:rsid w:val="00057C4C"/>
    <w:rsid w:val="000665C1"/>
    <w:rsid w:val="000B1812"/>
    <w:rsid w:val="00273107"/>
    <w:rsid w:val="00285CCC"/>
    <w:rsid w:val="00297915"/>
    <w:rsid w:val="002F106A"/>
    <w:rsid w:val="00300A06"/>
    <w:rsid w:val="00373062"/>
    <w:rsid w:val="004B0D24"/>
    <w:rsid w:val="005A5EE4"/>
    <w:rsid w:val="006967E3"/>
    <w:rsid w:val="008E01DA"/>
    <w:rsid w:val="00904FF9"/>
    <w:rsid w:val="00E05CEF"/>
    <w:rsid w:val="00EC2E3D"/>
    <w:rsid w:val="00F241E3"/>
    <w:rsid w:val="00FB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D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4B0D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character" w:customStyle="1" w:styleId="FontStyle63">
    <w:name w:val="Font Style63"/>
    <w:basedOn w:val="a0"/>
    <w:rsid w:val="004B0D24"/>
    <w:rPr>
      <w:rFonts w:ascii="Palatino Linotype" w:hAnsi="Palatino Linotype" w:cs="Palatino Linotype"/>
      <w:sz w:val="14"/>
      <w:szCs w:val="14"/>
    </w:rPr>
  </w:style>
  <w:style w:type="paragraph" w:customStyle="1" w:styleId="Style34">
    <w:name w:val="Style34"/>
    <w:basedOn w:val="a"/>
    <w:rsid w:val="004B0D24"/>
    <w:pPr>
      <w:widowControl w:val="0"/>
      <w:adjustRightInd w:val="0"/>
      <w:spacing w:line="192" w:lineRule="exact"/>
      <w:jc w:val="both"/>
    </w:pPr>
    <w:rPr>
      <w:rFonts w:ascii="Palatino Linotype" w:hAnsi="Palatino Linotype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uiPriority w:val="99"/>
    <w:rsid w:val="00285CCC"/>
    <w:pPr>
      <w:autoSpaceDE/>
      <w:autoSpaceDN/>
      <w:spacing w:before="120"/>
      <w:ind w:firstLine="567"/>
      <w:jc w:val="both"/>
    </w:pPr>
    <w:rPr>
      <w:rFonts w:ascii="Antiqua" w:hAnsi="Antiqua"/>
      <w:sz w:val="26"/>
      <w:lang w:val="uk-UA" w:eastAsia="en-GB"/>
    </w:rPr>
  </w:style>
  <w:style w:type="paragraph" w:styleId="HTML">
    <w:name w:val="HTML Preformatted"/>
    <w:basedOn w:val="a"/>
    <w:link w:val="HTML0"/>
    <w:uiPriority w:val="99"/>
    <w:unhideWhenUsed/>
    <w:rsid w:val="000665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665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241E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241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41E3"/>
    <w:rPr>
      <w:rFonts w:ascii="Tahoma" w:eastAsia="Times New Roman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904FF9"/>
    <w:pPr>
      <w:widowControl w:val="0"/>
      <w:autoSpaceDE/>
      <w:autoSpaceDN/>
      <w:ind w:left="1345"/>
    </w:pPr>
    <w:rPr>
      <w:rFonts w:ascii="PMingLiU" w:eastAsia="PMingLiU" w:hAnsi="PMingLiU" w:cstheme="minorBidi"/>
      <w:sz w:val="17"/>
      <w:szCs w:val="17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904FF9"/>
    <w:rPr>
      <w:rFonts w:ascii="PMingLiU" w:eastAsia="PMingLiU" w:hAnsi="PMingLiU"/>
      <w:sz w:val="17"/>
      <w:szCs w:val="17"/>
      <w:lang w:val="en-US"/>
    </w:rPr>
  </w:style>
  <w:style w:type="paragraph" w:styleId="aa">
    <w:name w:val="header"/>
    <w:basedOn w:val="a"/>
    <w:link w:val="ab"/>
    <w:uiPriority w:val="99"/>
    <w:unhideWhenUsed/>
    <w:rsid w:val="0027310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73107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27310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73107"/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024909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ae">
    <w:name w:val="Основной текст_"/>
    <w:basedOn w:val="a0"/>
    <w:link w:val="21"/>
    <w:rsid w:val="00024909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4909"/>
    <w:pPr>
      <w:widowControl w:val="0"/>
      <w:shd w:val="clear" w:color="auto" w:fill="FFFFFF"/>
      <w:autoSpaceDE/>
      <w:autoSpaceDN/>
      <w:spacing w:after="180" w:line="322" w:lineRule="exact"/>
      <w:ind w:hanging="700"/>
      <w:jc w:val="center"/>
    </w:pPr>
    <w:rPr>
      <w:b/>
      <w:bCs/>
      <w:spacing w:val="-2"/>
      <w:sz w:val="22"/>
      <w:szCs w:val="22"/>
    </w:rPr>
  </w:style>
  <w:style w:type="paragraph" w:customStyle="1" w:styleId="21">
    <w:name w:val="Основной текст2"/>
    <w:basedOn w:val="a"/>
    <w:link w:val="ae"/>
    <w:rsid w:val="00024909"/>
    <w:pPr>
      <w:widowControl w:val="0"/>
      <w:shd w:val="clear" w:color="auto" w:fill="FFFFFF"/>
      <w:autoSpaceDE/>
      <w:autoSpaceDN/>
      <w:spacing w:before="300" w:after="60" w:line="322" w:lineRule="exact"/>
      <w:jc w:val="both"/>
    </w:pPr>
    <w:rPr>
      <w:spacing w:val="-4"/>
      <w:sz w:val="26"/>
      <w:szCs w:val="26"/>
    </w:rPr>
  </w:style>
  <w:style w:type="character" w:customStyle="1" w:styleId="11pt">
    <w:name w:val="Основной текст + 11 pt"/>
    <w:basedOn w:val="ae"/>
    <w:rsid w:val="00300A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9">
    <w:name w:val="Основной текст (9)_"/>
    <w:basedOn w:val="a0"/>
    <w:link w:val="90"/>
    <w:rsid w:val="00300A06"/>
    <w:rPr>
      <w:rFonts w:ascii="Times New Roman" w:eastAsia="Times New Roman" w:hAnsi="Times New Roman" w:cs="Times New Roman"/>
      <w:i/>
      <w:iCs/>
      <w:spacing w:val="-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00A06"/>
    <w:pPr>
      <w:widowControl w:val="0"/>
      <w:shd w:val="clear" w:color="auto" w:fill="FFFFFF"/>
      <w:autoSpaceDE/>
      <w:autoSpaceDN/>
      <w:spacing w:line="322" w:lineRule="exact"/>
      <w:jc w:val="right"/>
    </w:pPr>
    <w:rPr>
      <w:i/>
      <w:iCs/>
      <w:spacing w:val="-5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D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4B0D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character" w:customStyle="1" w:styleId="FontStyle63">
    <w:name w:val="Font Style63"/>
    <w:basedOn w:val="a0"/>
    <w:rsid w:val="004B0D24"/>
    <w:rPr>
      <w:rFonts w:ascii="Palatino Linotype" w:hAnsi="Palatino Linotype" w:cs="Palatino Linotype"/>
      <w:sz w:val="14"/>
      <w:szCs w:val="14"/>
    </w:rPr>
  </w:style>
  <w:style w:type="paragraph" w:customStyle="1" w:styleId="Style34">
    <w:name w:val="Style34"/>
    <w:basedOn w:val="a"/>
    <w:rsid w:val="004B0D24"/>
    <w:pPr>
      <w:widowControl w:val="0"/>
      <w:adjustRightInd w:val="0"/>
      <w:spacing w:line="192" w:lineRule="exact"/>
      <w:jc w:val="both"/>
    </w:pPr>
    <w:rPr>
      <w:rFonts w:ascii="Palatino Linotype" w:hAnsi="Palatino Linotype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uiPriority w:val="99"/>
    <w:rsid w:val="00285CCC"/>
    <w:pPr>
      <w:autoSpaceDE/>
      <w:autoSpaceDN/>
      <w:spacing w:before="120"/>
      <w:ind w:firstLine="567"/>
      <w:jc w:val="both"/>
    </w:pPr>
    <w:rPr>
      <w:rFonts w:ascii="Antiqua" w:hAnsi="Antiqua"/>
      <w:sz w:val="26"/>
      <w:lang w:val="uk-UA" w:eastAsia="en-GB"/>
    </w:rPr>
  </w:style>
  <w:style w:type="paragraph" w:styleId="HTML">
    <w:name w:val="HTML Preformatted"/>
    <w:basedOn w:val="a"/>
    <w:link w:val="HTML0"/>
    <w:uiPriority w:val="99"/>
    <w:unhideWhenUsed/>
    <w:rsid w:val="000665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665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241E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241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41E3"/>
    <w:rPr>
      <w:rFonts w:ascii="Tahoma" w:eastAsia="Times New Roman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904FF9"/>
    <w:pPr>
      <w:widowControl w:val="0"/>
      <w:autoSpaceDE/>
      <w:autoSpaceDN/>
      <w:ind w:left="1345"/>
    </w:pPr>
    <w:rPr>
      <w:rFonts w:ascii="PMingLiU" w:eastAsia="PMingLiU" w:hAnsi="PMingLiU" w:cstheme="minorBidi"/>
      <w:sz w:val="17"/>
      <w:szCs w:val="17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904FF9"/>
    <w:rPr>
      <w:rFonts w:ascii="PMingLiU" w:eastAsia="PMingLiU" w:hAnsi="PMingLiU"/>
      <w:sz w:val="17"/>
      <w:szCs w:val="17"/>
      <w:lang w:val="en-US"/>
    </w:rPr>
  </w:style>
  <w:style w:type="paragraph" w:styleId="aa">
    <w:name w:val="header"/>
    <w:basedOn w:val="a"/>
    <w:link w:val="ab"/>
    <w:uiPriority w:val="99"/>
    <w:unhideWhenUsed/>
    <w:rsid w:val="0027310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73107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27310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73107"/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024909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ae">
    <w:name w:val="Основной текст_"/>
    <w:basedOn w:val="a0"/>
    <w:link w:val="21"/>
    <w:rsid w:val="00024909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4909"/>
    <w:pPr>
      <w:widowControl w:val="0"/>
      <w:shd w:val="clear" w:color="auto" w:fill="FFFFFF"/>
      <w:autoSpaceDE/>
      <w:autoSpaceDN/>
      <w:spacing w:after="180" w:line="322" w:lineRule="exact"/>
      <w:ind w:hanging="700"/>
      <w:jc w:val="center"/>
    </w:pPr>
    <w:rPr>
      <w:b/>
      <w:bCs/>
      <w:spacing w:val="-2"/>
      <w:sz w:val="22"/>
      <w:szCs w:val="22"/>
    </w:rPr>
  </w:style>
  <w:style w:type="paragraph" w:customStyle="1" w:styleId="21">
    <w:name w:val="Основной текст2"/>
    <w:basedOn w:val="a"/>
    <w:link w:val="ae"/>
    <w:rsid w:val="00024909"/>
    <w:pPr>
      <w:widowControl w:val="0"/>
      <w:shd w:val="clear" w:color="auto" w:fill="FFFFFF"/>
      <w:autoSpaceDE/>
      <w:autoSpaceDN/>
      <w:spacing w:before="300" w:after="60" w:line="322" w:lineRule="exact"/>
      <w:jc w:val="both"/>
    </w:pPr>
    <w:rPr>
      <w:spacing w:val="-4"/>
      <w:sz w:val="26"/>
      <w:szCs w:val="26"/>
    </w:rPr>
  </w:style>
  <w:style w:type="character" w:customStyle="1" w:styleId="11pt">
    <w:name w:val="Основной текст + 11 pt"/>
    <w:basedOn w:val="ae"/>
    <w:rsid w:val="00300A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9">
    <w:name w:val="Основной текст (9)_"/>
    <w:basedOn w:val="a0"/>
    <w:link w:val="90"/>
    <w:rsid w:val="00300A06"/>
    <w:rPr>
      <w:rFonts w:ascii="Times New Roman" w:eastAsia="Times New Roman" w:hAnsi="Times New Roman" w:cs="Times New Roman"/>
      <w:i/>
      <w:iCs/>
      <w:spacing w:val="-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00A06"/>
    <w:pPr>
      <w:widowControl w:val="0"/>
      <w:shd w:val="clear" w:color="auto" w:fill="FFFFFF"/>
      <w:autoSpaceDE/>
      <w:autoSpaceDN/>
      <w:spacing w:line="322" w:lineRule="exact"/>
      <w:jc w:val="right"/>
    </w:pPr>
    <w:rPr>
      <w:i/>
      <w:iCs/>
      <w:spacing w:val="-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1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2017-12-06T10:09:00Z</dcterms:created>
  <dcterms:modified xsi:type="dcterms:W3CDTF">2018-03-30T09:02:00Z</dcterms:modified>
</cp:coreProperties>
</file>